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4803" w14:textId="77777777" w:rsidR="006F511F" w:rsidRDefault="00771761">
      <w:pPr>
        <w:spacing w:after="60"/>
        <w:jc w:val="center"/>
      </w:pPr>
      <w:r>
        <w:rPr>
          <w:b/>
          <w:bCs/>
          <w:color w:val="1F4E79"/>
          <w:sz w:val="36"/>
          <w:szCs w:val="36"/>
        </w:rPr>
        <w:t>BATTERY ENERGY STORAGE SYSTEMS (BESS)</w:t>
      </w:r>
    </w:p>
    <w:p w14:paraId="5129405B" w14:textId="77777777" w:rsidR="006F511F" w:rsidRDefault="006F511F">
      <w:pPr>
        <w:pBdr>
          <w:bottom w:val="single" w:sz="4" w:space="1" w:color="2E75B6"/>
        </w:pBdr>
      </w:pPr>
    </w:p>
    <w:p w14:paraId="49820850" w14:textId="77777777" w:rsidR="00134C58" w:rsidRPr="00134C58" w:rsidRDefault="00134C58" w:rsidP="00134C58">
      <w:pPr>
        <w:pStyle w:val="Heading1"/>
        <w:jc w:val="both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>As per IEGC 2023 Part 6, hybrid RE and storage resources require special consideration due to their dynamic operational characteristics, fast ramping capability and interaction with grid voltage/reactive power.</w:t>
      </w:r>
    </w:p>
    <w:p w14:paraId="1C85B9A9" w14:textId="77777777" w:rsidR="00134C58" w:rsidRPr="00134C58" w:rsidRDefault="00134C58" w:rsidP="00134C58">
      <w:pPr>
        <w:pStyle w:val="Heading1"/>
        <w:jc w:val="both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>Therefore, before issuing connectivity approval, certain technical, operational, protection and compliance requirements must be validated to ensure grid safety, voltage stability, power quality and protection coordination in accordance with CEA &amp; IEGC provisions.</w:t>
      </w:r>
    </w:p>
    <w:p w14:paraId="51303EA4" w14:textId="77777777" w:rsidR="00134C58" w:rsidRPr="00134C58" w:rsidRDefault="00771761" w:rsidP="00134C58">
      <w:pPr>
        <w:pStyle w:val="Heading1"/>
      </w:pPr>
      <w:r>
        <w:pict w14:anchorId="4D389032">
          <v:rect id="_x0000_i1025" style="width:0;height:1.5pt" o:hralign="center" o:hrstd="t" o:hr="t" fillcolor="#a0a0a0" stroked="f"/>
        </w:pict>
      </w:r>
    </w:p>
    <w:p w14:paraId="42E006E6" w14:textId="77777777" w:rsidR="00134C58" w:rsidRPr="00134C58" w:rsidRDefault="00134C58" w:rsidP="00134C58">
      <w:pPr>
        <w:pStyle w:val="Heading1"/>
      </w:pPr>
      <w:r w:rsidRPr="00134C58">
        <w:t>2. Key Regulatory-Based Concerns Prior to Granting Grid Connectivity</w:t>
      </w:r>
    </w:p>
    <w:p w14:paraId="27757FEC" w14:textId="77777777" w:rsidR="00134C58" w:rsidRPr="00134C58" w:rsidRDefault="00134C58" w:rsidP="00134C58">
      <w:pPr>
        <w:pStyle w:val="Heading1"/>
      </w:pPr>
      <w:r w:rsidRPr="00134C58">
        <w:t>a) Grid Security, Stability &amp; Ramp Control</w:t>
      </w:r>
    </w:p>
    <w:p w14:paraId="61B93675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IEGC 2023 Part 6, Clauses on Active Power Control &amp; Ramp Rate</w:t>
      </w:r>
      <w:r w:rsidRPr="00134C58">
        <w:rPr>
          <w:b w:val="0"/>
          <w:bCs w:val="0"/>
          <w:color w:val="auto"/>
        </w:rPr>
        <w:t>:</w:t>
      </w:r>
    </w:p>
    <w:p w14:paraId="196B0969" w14:textId="77777777" w:rsidR="00134C58" w:rsidRPr="00134C58" w:rsidRDefault="00134C58" w:rsidP="00134C58">
      <w:pPr>
        <w:pStyle w:val="Heading1"/>
        <w:numPr>
          <w:ilvl w:val="0"/>
          <w:numId w:val="3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Hybrid RE + BESS plants shall comply with mandated active power ramp limits, frequency control requirements, and must avoid sudden power surges or absorption. </w:t>
      </w:r>
    </w:p>
    <w:p w14:paraId="3A54D1FE" w14:textId="77777777" w:rsidR="00134C58" w:rsidRPr="00134C58" w:rsidRDefault="00134C58" w:rsidP="00134C58">
      <w:pPr>
        <w:pStyle w:val="Heading1"/>
        <w:numPr>
          <w:ilvl w:val="0"/>
          <w:numId w:val="3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BESS operation shall not cause frequency excursion, uncoordinated charging or uncontrolled swings in output. </w:t>
      </w:r>
    </w:p>
    <w:p w14:paraId="6308D6BC" w14:textId="77777777" w:rsidR="00134C58" w:rsidRPr="00134C58" w:rsidRDefault="00134C58" w:rsidP="00134C58">
      <w:pPr>
        <w:pStyle w:val="Heading1"/>
        <w:numPr>
          <w:ilvl w:val="0"/>
          <w:numId w:val="3"/>
        </w:numPr>
      </w:pPr>
      <w:r w:rsidRPr="00134C58">
        <w:rPr>
          <w:b w:val="0"/>
          <w:bCs w:val="0"/>
          <w:color w:val="auto"/>
        </w:rPr>
        <w:t>As per CEA Grid Standards (2013), generating plants must operate without causing voltage fluctuations or disturbances.</w:t>
      </w:r>
      <w:r w:rsidRPr="00134C58">
        <w:t xml:space="preserve"> </w:t>
      </w:r>
    </w:p>
    <w:p w14:paraId="6522E5DA" w14:textId="77777777" w:rsidR="00134C58" w:rsidRPr="00134C58" w:rsidRDefault="00134C58" w:rsidP="00134C58">
      <w:pPr>
        <w:pStyle w:val="Heading1"/>
      </w:pPr>
      <w:r w:rsidRPr="00134C58">
        <w:t>b) Protection Coordination Requirements</w:t>
      </w:r>
    </w:p>
    <w:p w14:paraId="06D8CA32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CEA Connectivity Standards (2013 &amp; amendments)</w:t>
      </w:r>
      <w:r w:rsidRPr="00134C58">
        <w:rPr>
          <w:b w:val="0"/>
          <w:bCs w:val="0"/>
          <w:color w:val="auto"/>
        </w:rPr>
        <w:t>:</w:t>
      </w:r>
    </w:p>
    <w:p w14:paraId="45D18627" w14:textId="77777777" w:rsidR="00134C58" w:rsidRPr="00134C58" w:rsidRDefault="00134C58" w:rsidP="00FA2484">
      <w:pPr>
        <w:pStyle w:val="Heading1"/>
        <w:numPr>
          <w:ilvl w:val="0"/>
          <w:numId w:val="4"/>
        </w:numPr>
        <w:jc w:val="both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The fault contribution and inverter-based protection settings of Wind/Solar/BESS inverters must comply with LVRT/HVRT, anti-islanding, O/V–U/V, and O/F–U/F protection norms. </w:t>
      </w:r>
    </w:p>
    <w:p w14:paraId="12146388" w14:textId="77777777" w:rsidR="00134C58" w:rsidRPr="00134C58" w:rsidRDefault="00134C58" w:rsidP="00134C58">
      <w:pPr>
        <w:pStyle w:val="Heading1"/>
        <w:numPr>
          <w:ilvl w:val="0"/>
          <w:numId w:val="4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Hybrid developers must furnish: </w:t>
      </w:r>
    </w:p>
    <w:p w14:paraId="333B1852" w14:textId="77777777" w:rsidR="00134C58" w:rsidRPr="00134C58" w:rsidRDefault="00134C58" w:rsidP="00134C58">
      <w:pPr>
        <w:pStyle w:val="Heading1"/>
        <w:numPr>
          <w:ilvl w:val="1"/>
          <w:numId w:val="4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Fault-level calculations at 110/230 kV interface </w:t>
      </w:r>
    </w:p>
    <w:p w14:paraId="7D20D94D" w14:textId="77777777" w:rsidR="00134C58" w:rsidRPr="00134C58" w:rsidRDefault="00134C58" w:rsidP="00134C58">
      <w:pPr>
        <w:pStyle w:val="Heading1"/>
        <w:numPr>
          <w:ilvl w:val="1"/>
          <w:numId w:val="4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lastRenderedPageBreak/>
        <w:t xml:space="preserve">Relay coordination and grading study </w:t>
      </w:r>
    </w:p>
    <w:p w14:paraId="703D652B" w14:textId="77777777" w:rsidR="00134C58" w:rsidRPr="00134C58" w:rsidRDefault="00134C58" w:rsidP="00134C58">
      <w:pPr>
        <w:pStyle w:val="Heading1"/>
        <w:numPr>
          <w:ilvl w:val="1"/>
          <w:numId w:val="4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Islanding prevention scheme as per </w:t>
      </w:r>
      <w:r w:rsidRPr="00134C58">
        <w:rPr>
          <w:b w:val="0"/>
          <w:bCs w:val="0"/>
          <w:i/>
          <w:iCs/>
          <w:color w:val="auto"/>
        </w:rPr>
        <w:t>CEA Grid Safety Regulations</w:t>
      </w:r>
      <w:r w:rsidRPr="00134C58">
        <w:rPr>
          <w:b w:val="0"/>
          <w:bCs w:val="0"/>
          <w:color w:val="auto"/>
        </w:rPr>
        <w:t xml:space="preserve">. </w:t>
      </w:r>
    </w:p>
    <w:p w14:paraId="7E5F08BF" w14:textId="77777777" w:rsidR="00134C58" w:rsidRPr="00FA2484" w:rsidRDefault="00134C58" w:rsidP="00134C58">
      <w:pPr>
        <w:pStyle w:val="Heading1"/>
        <w:rPr>
          <w:color w:val="4472C4" w:themeColor="accent1"/>
        </w:rPr>
      </w:pPr>
      <w:r w:rsidRPr="00134C58">
        <w:rPr>
          <w:b w:val="0"/>
          <w:bCs w:val="0"/>
          <w:color w:val="auto"/>
        </w:rPr>
        <w:t xml:space="preserve">c) </w:t>
      </w:r>
      <w:r w:rsidRPr="00FA2484">
        <w:rPr>
          <w:color w:val="4472C4" w:themeColor="accent1"/>
        </w:rPr>
        <w:t>Voltage Regulation &amp; Reactive Power Support</w:t>
      </w:r>
    </w:p>
    <w:p w14:paraId="1EDF7768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IEGC 2023 Part 6 (Voltage &amp; Reactive Power Requirements)</w:t>
      </w:r>
      <w:r w:rsidRPr="00134C58">
        <w:rPr>
          <w:b w:val="0"/>
          <w:bCs w:val="0"/>
          <w:color w:val="auto"/>
        </w:rPr>
        <w:t xml:space="preserve"> and </w:t>
      </w:r>
      <w:r w:rsidRPr="00134C58">
        <w:rPr>
          <w:b w:val="0"/>
          <w:bCs w:val="0"/>
          <w:i/>
          <w:iCs/>
          <w:color w:val="auto"/>
        </w:rPr>
        <w:t>CEA Connectivity Standards</w:t>
      </w:r>
      <w:r w:rsidRPr="00134C58">
        <w:rPr>
          <w:b w:val="0"/>
          <w:bCs w:val="0"/>
          <w:color w:val="auto"/>
        </w:rPr>
        <w:t>:</w:t>
      </w:r>
    </w:p>
    <w:p w14:paraId="7DF49988" w14:textId="77777777" w:rsidR="00134C58" w:rsidRPr="00134C58" w:rsidRDefault="00134C58" w:rsidP="00134C58">
      <w:pPr>
        <w:pStyle w:val="Heading1"/>
        <w:numPr>
          <w:ilvl w:val="0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All inverter-based resources must operate within ±0.95 power factor at the interconnection point. </w:t>
      </w:r>
    </w:p>
    <w:p w14:paraId="2BB304EC" w14:textId="77777777" w:rsidR="00134C58" w:rsidRPr="00134C58" w:rsidRDefault="00134C58" w:rsidP="00134C58">
      <w:pPr>
        <w:pStyle w:val="Heading1"/>
        <w:numPr>
          <w:ilvl w:val="0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Plants must provide dynamic reactive power support, including night/SVC/STATCOM capability, as applicable. </w:t>
      </w:r>
    </w:p>
    <w:p w14:paraId="0DD097CC" w14:textId="77777777" w:rsidR="00134C58" w:rsidRPr="00134C58" w:rsidRDefault="00134C58" w:rsidP="00134C58">
      <w:pPr>
        <w:pStyle w:val="Heading1"/>
        <w:numPr>
          <w:ilvl w:val="0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Inverter/IBR must support grid voltage during disturbances (LVRT/HVRT). </w:t>
      </w:r>
    </w:p>
    <w:p w14:paraId="165C1A38" w14:textId="77777777" w:rsidR="00134C58" w:rsidRPr="00134C58" w:rsidRDefault="00134C58" w:rsidP="00134C58">
      <w:pPr>
        <w:pStyle w:val="Heading1"/>
        <w:numPr>
          <w:ilvl w:val="0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Hybrid developer shall furnish: </w:t>
      </w:r>
    </w:p>
    <w:p w14:paraId="66669728" w14:textId="77777777" w:rsidR="00134C58" w:rsidRPr="00134C58" w:rsidRDefault="00134C58" w:rsidP="00134C58">
      <w:pPr>
        <w:pStyle w:val="Heading1"/>
        <w:numPr>
          <w:ilvl w:val="1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VAR sizing study </w:t>
      </w:r>
    </w:p>
    <w:p w14:paraId="08C1B7F2" w14:textId="77777777" w:rsidR="00134C58" w:rsidRPr="00134C58" w:rsidRDefault="00134C58" w:rsidP="00134C58">
      <w:pPr>
        <w:pStyle w:val="Heading1"/>
        <w:numPr>
          <w:ilvl w:val="1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Capability curves of Solar, Wind and BESS inverters </w:t>
      </w:r>
    </w:p>
    <w:p w14:paraId="0ABA6D4C" w14:textId="77777777" w:rsidR="00134C58" w:rsidRPr="00134C58" w:rsidRDefault="00134C58" w:rsidP="00134C58">
      <w:pPr>
        <w:pStyle w:val="Heading1"/>
        <w:numPr>
          <w:ilvl w:val="1"/>
          <w:numId w:val="5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Details of external VAR compensators </w:t>
      </w:r>
    </w:p>
    <w:p w14:paraId="2CFFC0CC" w14:textId="77777777" w:rsidR="00134C58" w:rsidRPr="00FA2484" w:rsidRDefault="00134C58" w:rsidP="00134C58">
      <w:pPr>
        <w:pStyle w:val="Heading1"/>
        <w:rPr>
          <w:b w:val="0"/>
          <w:bCs w:val="0"/>
          <w:color w:val="4472C4" w:themeColor="accent1"/>
        </w:rPr>
      </w:pPr>
      <w:r w:rsidRPr="00134C58">
        <w:rPr>
          <w:b w:val="0"/>
          <w:bCs w:val="0"/>
          <w:color w:val="auto"/>
        </w:rPr>
        <w:t xml:space="preserve">d) </w:t>
      </w:r>
      <w:r w:rsidRPr="00FA2484">
        <w:rPr>
          <w:b w:val="0"/>
          <w:bCs w:val="0"/>
          <w:color w:val="4472C4" w:themeColor="accent1"/>
        </w:rPr>
        <w:t>BESS SoC Management &amp; Charge/Discharge Control</w:t>
      </w:r>
    </w:p>
    <w:p w14:paraId="6A9410D2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In line with </w:t>
      </w:r>
      <w:proofErr w:type="spellStart"/>
      <w:r w:rsidRPr="00134C58">
        <w:rPr>
          <w:b w:val="0"/>
          <w:bCs w:val="0"/>
          <w:color w:val="auto"/>
        </w:rPr>
        <w:t>MoP</w:t>
      </w:r>
      <w:proofErr w:type="spellEnd"/>
      <w:r w:rsidRPr="00134C58">
        <w:rPr>
          <w:b w:val="0"/>
          <w:bCs w:val="0"/>
          <w:color w:val="auto"/>
        </w:rPr>
        <w:t xml:space="preserve"> Draft BESS Standards 2023/24 and IEGC 2023 Part 6:</w:t>
      </w:r>
    </w:p>
    <w:p w14:paraId="4D5649C4" w14:textId="77777777" w:rsidR="00134C58" w:rsidRPr="00134C58" w:rsidRDefault="00134C58" w:rsidP="00134C58">
      <w:pPr>
        <w:pStyle w:val="Heading1"/>
        <w:numPr>
          <w:ilvl w:val="0"/>
          <w:numId w:val="6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SoC control logic, charge/discharge limits and operational philosophy must be declared in advance. </w:t>
      </w:r>
    </w:p>
    <w:p w14:paraId="0258B940" w14:textId="77777777" w:rsidR="00134C58" w:rsidRPr="00134C58" w:rsidRDefault="00134C58" w:rsidP="00134C58">
      <w:pPr>
        <w:pStyle w:val="Heading1"/>
        <w:numPr>
          <w:ilvl w:val="0"/>
          <w:numId w:val="6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BESS in charge mode must not draw power during low-voltage or contingency events, in accordance with the general grid-safety requirement under CEA Grid Standards. </w:t>
      </w:r>
    </w:p>
    <w:p w14:paraId="20C785F2" w14:textId="77777777" w:rsidR="00134C58" w:rsidRDefault="00134C58" w:rsidP="00134C58">
      <w:pPr>
        <w:pStyle w:val="Heading1"/>
        <w:numPr>
          <w:ilvl w:val="0"/>
          <w:numId w:val="6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EMS/HPC must restrict injection to approved capacity and follow SLDC scheduling instructions. </w:t>
      </w:r>
    </w:p>
    <w:p w14:paraId="791052F6" w14:textId="77777777" w:rsidR="00FA2484" w:rsidRDefault="00FA2484" w:rsidP="00FA2484">
      <w:pPr>
        <w:pStyle w:val="Heading1"/>
        <w:rPr>
          <w:b w:val="0"/>
          <w:bCs w:val="0"/>
          <w:color w:val="auto"/>
        </w:rPr>
      </w:pPr>
    </w:p>
    <w:p w14:paraId="28158411" w14:textId="77777777" w:rsidR="00FA2484" w:rsidRPr="00134C58" w:rsidRDefault="00FA2484" w:rsidP="00FA2484">
      <w:pPr>
        <w:pStyle w:val="Heading1"/>
        <w:rPr>
          <w:b w:val="0"/>
          <w:bCs w:val="0"/>
          <w:color w:val="auto"/>
        </w:rPr>
      </w:pPr>
    </w:p>
    <w:p w14:paraId="216A6983" w14:textId="77777777" w:rsidR="00134C58" w:rsidRPr="00FA2484" w:rsidRDefault="00134C58" w:rsidP="00134C58">
      <w:pPr>
        <w:pStyle w:val="Heading1"/>
        <w:rPr>
          <w:b w:val="0"/>
          <w:bCs w:val="0"/>
          <w:color w:val="4472C4" w:themeColor="accent1"/>
        </w:rPr>
      </w:pPr>
      <w:r w:rsidRPr="00134C58">
        <w:rPr>
          <w:b w:val="0"/>
          <w:bCs w:val="0"/>
          <w:color w:val="auto"/>
        </w:rPr>
        <w:lastRenderedPageBreak/>
        <w:t xml:space="preserve">e) </w:t>
      </w:r>
      <w:r w:rsidRPr="00FA2484">
        <w:rPr>
          <w:b w:val="0"/>
          <w:bCs w:val="0"/>
          <w:color w:val="4472C4" w:themeColor="accent1"/>
        </w:rPr>
        <w:t>Scheduling, Metering &amp; Energy Accounting</w:t>
      </w:r>
    </w:p>
    <w:p w14:paraId="0A5E93D8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IEGC 2023 Chapter on Scheduling &amp; CEA Metering Regulations</w:t>
      </w:r>
      <w:r w:rsidRPr="00134C58">
        <w:rPr>
          <w:b w:val="0"/>
          <w:bCs w:val="0"/>
          <w:color w:val="auto"/>
        </w:rPr>
        <w:t>:</w:t>
      </w:r>
    </w:p>
    <w:p w14:paraId="695A835B" w14:textId="77777777" w:rsidR="00134C58" w:rsidRPr="00134C58" w:rsidRDefault="00134C58" w:rsidP="00134C58">
      <w:pPr>
        <w:pStyle w:val="Heading1"/>
        <w:numPr>
          <w:ilvl w:val="0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Hybrid + ESS must adhere to 15-minute scheduling, QCA-based aggregation, and RE forecasting requirements. </w:t>
      </w:r>
    </w:p>
    <w:p w14:paraId="506E3B9C" w14:textId="77777777" w:rsidR="00134C58" w:rsidRPr="00134C58" w:rsidRDefault="00134C58" w:rsidP="00134C58">
      <w:pPr>
        <w:pStyle w:val="Heading1"/>
        <w:numPr>
          <w:ilvl w:val="0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Separate meters are required for: </w:t>
      </w:r>
    </w:p>
    <w:p w14:paraId="2FF1ABAF" w14:textId="77777777" w:rsidR="00134C58" w:rsidRPr="00134C58" w:rsidRDefault="00134C58" w:rsidP="00134C58">
      <w:pPr>
        <w:pStyle w:val="Heading1"/>
        <w:numPr>
          <w:ilvl w:val="1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Solar Generation </w:t>
      </w:r>
    </w:p>
    <w:p w14:paraId="65543482" w14:textId="77777777" w:rsidR="00134C58" w:rsidRPr="00134C58" w:rsidRDefault="00134C58" w:rsidP="00134C58">
      <w:pPr>
        <w:pStyle w:val="Heading1"/>
        <w:numPr>
          <w:ilvl w:val="1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Wind Generation </w:t>
      </w:r>
    </w:p>
    <w:p w14:paraId="6A6F5A8E" w14:textId="77777777" w:rsidR="00134C58" w:rsidRPr="00134C58" w:rsidRDefault="00134C58" w:rsidP="00134C58">
      <w:pPr>
        <w:pStyle w:val="Heading1"/>
        <w:numPr>
          <w:ilvl w:val="1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BESS Charging </w:t>
      </w:r>
    </w:p>
    <w:p w14:paraId="4CF1F90A" w14:textId="77777777" w:rsidR="00134C58" w:rsidRPr="00134C58" w:rsidRDefault="00134C58" w:rsidP="00134C58">
      <w:pPr>
        <w:pStyle w:val="Heading1"/>
        <w:numPr>
          <w:ilvl w:val="1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BESS Discharging </w:t>
      </w:r>
    </w:p>
    <w:p w14:paraId="79EBCD58" w14:textId="77777777" w:rsidR="00134C58" w:rsidRPr="00134C58" w:rsidRDefault="00134C58" w:rsidP="00134C58">
      <w:pPr>
        <w:pStyle w:val="Heading1"/>
        <w:numPr>
          <w:ilvl w:val="1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Net Injection </w:t>
      </w:r>
    </w:p>
    <w:p w14:paraId="6631AB91" w14:textId="77777777" w:rsidR="00134C58" w:rsidRPr="00134C58" w:rsidRDefault="00134C58" w:rsidP="00134C58">
      <w:pPr>
        <w:pStyle w:val="Heading1"/>
        <w:numPr>
          <w:ilvl w:val="0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AMR/SCADA must comply with CEA Communication Standards 2020. </w:t>
      </w:r>
    </w:p>
    <w:p w14:paraId="1A8FCA98" w14:textId="77777777" w:rsidR="00134C58" w:rsidRPr="00134C58" w:rsidRDefault="00134C58" w:rsidP="00134C58">
      <w:pPr>
        <w:pStyle w:val="Heading1"/>
        <w:numPr>
          <w:ilvl w:val="0"/>
          <w:numId w:val="7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COD certificate must confirm compliance with CEA Connectivity, Communication and Safety Standards. </w:t>
      </w:r>
    </w:p>
    <w:p w14:paraId="195BF8CC" w14:textId="77777777" w:rsidR="00134C58" w:rsidRPr="00134C58" w:rsidRDefault="00134C58" w:rsidP="00134C58">
      <w:pPr>
        <w:pStyle w:val="Heading1"/>
      </w:pPr>
      <w:r w:rsidRPr="00134C58">
        <w:t>f) Transmission Infrastructure Adequacy</w:t>
      </w:r>
    </w:p>
    <w:p w14:paraId="786459D6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CEA Connectivity &amp; Grid Standards</w:t>
      </w:r>
      <w:r w:rsidRPr="00134C58">
        <w:rPr>
          <w:b w:val="0"/>
          <w:bCs w:val="0"/>
          <w:color w:val="auto"/>
        </w:rPr>
        <w:t>:</w:t>
      </w:r>
    </w:p>
    <w:p w14:paraId="3CD75BA1" w14:textId="77777777" w:rsidR="00134C58" w:rsidRPr="00134C58" w:rsidRDefault="00134C58" w:rsidP="00134C58">
      <w:pPr>
        <w:pStyle w:val="Heading1"/>
        <w:numPr>
          <w:ilvl w:val="0"/>
          <w:numId w:val="8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Load flow studies must consider simultaneous Wind + Solar + BESS discharge. </w:t>
      </w:r>
    </w:p>
    <w:p w14:paraId="2CE3171E" w14:textId="77777777" w:rsidR="00134C58" w:rsidRPr="00134C58" w:rsidRDefault="00134C58" w:rsidP="00134C58">
      <w:pPr>
        <w:pStyle w:val="Heading1"/>
        <w:numPr>
          <w:ilvl w:val="0"/>
          <w:numId w:val="8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Transformer, bay equipment, CT/PT burden and STU substation ratings must be verified. </w:t>
      </w:r>
    </w:p>
    <w:p w14:paraId="1EFA9565" w14:textId="77777777" w:rsidR="00134C58" w:rsidRPr="00134C58" w:rsidRDefault="00134C58" w:rsidP="00134C58">
      <w:pPr>
        <w:pStyle w:val="Heading1"/>
      </w:pPr>
      <w:r w:rsidRPr="00134C58">
        <w:t>g) SCADA, Telemetry &amp; Cybersecurity</w:t>
      </w:r>
    </w:p>
    <w:p w14:paraId="0E41FFB6" w14:textId="77777777" w:rsidR="00134C58" w:rsidRPr="00134C58" w:rsidRDefault="00134C58" w:rsidP="00134C58">
      <w:pPr>
        <w:pStyle w:val="Heading1"/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As per </w:t>
      </w:r>
      <w:r w:rsidRPr="00134C58">
        <w:rPr>
          <w:b w:val="0"/>
          <w:bCs w:val="0"/>
          <w:i/>
          <w:iCs/>
          <w:color w:val="auto"/>
        </w:rPr>
        <w:t>CEA Communication Standards (2020) &amp; IEGC 2023</w:t>
      </w:r>
      <w:r w:rsidRPr="00134C58">
        <w:rPr>
          <w:b w:val="0"/>
          <w:bCs w:val="0"/>
          <w:color w:val="auto"/>
        </w:rPr>
        <w:t>:</w:t>
      </w:r>
    </w:p>
    <w:p w14:paraId="14FBAF8E" w14:textId="77777777" w:rsidR="00134C58" w:rsidRPr="00134C58" w:rsidRDefault="00134C58" w:rsidP="00134C58">
      <w:pPr>
        <w:pStyle w:val="Heading1"/>
        <w:numPr>
          <w:ilvl w:val="0"/>
          <w:numId w:val="9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Real-time data (MW, MVAR, SoC, inverter status, node voltages, alarms) must be provided to SLDC. </w:t>
      </w:r>
    </w:p>
    <w:p w14:paraId="168A842D" w14:textId="77777777" w:rsidR="00134C58" w:rsidRPr="00134C58" w:rsidRDefault="00134C58" w:rsidP="00134C58">
      <w:pPr>
        <w:pStyle w:val="Heading1"/>
        <w:numPr>
          <w:ilvl w:val="0"/>
          <w:numId w:val="9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lastRenderedPageBreak/>
        <w:t xml:space="preserve">BESS controller and HPC must comply with time-synchronization, redundancy &amp; cybersecurity provisions. </w:t>
      </w:r>
    </w:p>
    <w:p w14:paraId="5AFD5E8E" w14:textId="77777777" w:rsidR="00134C58" w:rsidRPr="00134C58" w:rsidRDefault="00771761" w:rsidP="00134C58">
      <w:pPr>
        <w:pStyle w:val="Heading1"/>
      </w:pPr>
      <w:r>
        <w:pict w14:anchorId="0E00A336">
          <v:rect id="_x0000_i1026" style="width:0;height:1.5pt" o:hralign="center" o:hrstd="t" o:hr="t" fillcolor="#a0a0a0" stroked="f"/>
        </w:pict>
      </w:r>
    </w:p>
    <w:p w14:paraId="45214DDE" w14:textId="77777777" w:rsidR="00134C58" w:rsidRPr="00134C58" w:rsidRDefault="00134C58" w:rsidP="00134C58">
      <w:pPr>
        <w:pStyle w:val="Heading1"/>
      </w:pPr>
      <w:r w:rsidRPr="00134C58">
        <w:t>3. Recommendations Prior to Issuing Grid Connectivity</w:t>
      </w:r>
    </w:p>
    <w:p w14:paraId="29B52726" w14:textId="35068EC8" w:rsidR="00134C58" w:rsidRPr="00134C58" w:rsidRDefault="00134C58" w:rsidP="00134C58">
      <w:pPr>
        <w:pStyle w:val="Heading1"/>
      </w:pPr>
      <w:r>
        <w:t>T</w:t>
      </w:r>
      <w:r w:rsidRPr="00134C58">
        <w:t>he following documents and studies are obtained:</w:t>
      </w:r>
    </w:p>
    <w:p w14:paraId="25ABAD0E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Hybrid plant design package </w:t>
      </w:r>
    </w:p>
    <w:p w14:paraId="461ABA2B" w14:textId="77777777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SLD, capability curves, VAR study, protection study, metering arrangement </w:t>
      </w:r>
    </w:p>
    <w:p w14:paraId="0A64D36C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Compliance report </w:t>
      </w:r>
    </w:p>
    <w:p w14:paraId="590F9ADE" w14:textId="77777777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IEGC 2023 Part 6 </w:t>
      </w:r>
    </w:p>
    <w:p w14:paraId="46B51F2C" w14:textId="77777777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CEA Connectivity Standards </w:t>
      </w:r>
    </w:p>
    <w:p w14:paraId="2D79C3BC" w14:textId="77777777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CEA Safety &amp; Communication Regulations </w:t>
      </w:r>
    </w:p>
    <w:p w14:paraId="3356DA97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SCADA/Telemetry readiness with SLDC </w:t>
      </w:r>
    </w:p>
    <w:p w14:paraId="260C9DC9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Installation of harmonic filters, STATCOM/VAR support and HPC </w:t>
      </w:r>
    </w:p>
    <w:p w14:paraId="4D0DF412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Load flow study demonstrating no overloading or voltage violation </w:t>
      </w:r>
    </w:p>
    <w:p w14:paraId="2B593E64" w14:textId="77777777" w:rsidR="00134C58" w:rsidRPr="00134C58" w:rsidRDefault="00134C58" w:rsidP="00134C58">
      <w:pPr>
        <w:pStyle w:val="Heading1"/>
        <w:numPr>
          <w:ilvl w:val="0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Developer undertaking confirming that: </w:t>
      </w:r>
    </w:p>
    <w:p w14:paraId="19BB52BB" w14:textId="2E160FFD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 xml:space="preserve">BESS will not charge without </w:t>
      </w:r>
      <w:r w:rsidR="00E63C6F">
        <w:rPr>
          <w:b w:val="0"/>
          <w:bCs w:val="0"/>
          <w:color w:val="auto"/>
        </w:rPr>
        <w:t>RLDC/</w:t>
      </w:r>
      <w:r w:rsidRPr="00134C58">
        <w:rPr>
          <w:b w:val="0"/>
          <w:bCs w:val="0"/>
          <w:color w:val="auto"/>
        </w:rPr>
        <w:t xml:space="preserve">SLDC approval </w:t>
      </w:r>
    </w:p>
    <w:p w14:paraId="42617F97" w14:textId="77777777" w:rsidR="00134C58" w:rsidRPr="00134C58" w:rsidRDefault="00134C58" w:rsidP="00134C58">
      <w:pPr>
        <w:pStyle w:val="Heading1"/>
        <w:numPr>
          <w:ilvl w:val="1"/>
          <w:numId w:val="10"/>
        </w:numPr>
        <w:rPr>
          <w:b w:val="0"/>
          <w:bCs w:val="0"/>
          <w:color w:val="auto"/>
        </w:rPr>
      </w:pPr>
      <w:r w:rsidRPr="00134C58">
        <w:rPr>
          <w:b w:val="0"/>
          <w:bCs w:val="0"/>
          <w:color w:val="auto"/>
        </w:rPr>
        <w:t>All SLDC instructions will be followed in real time</w:t>
      </w:r>
    </w:p>
    <w:p w14:paraId="3DC1EECB" w14:textId="77777777" w:rsidR="00134C58" w:rsidRDefault="00134C58">
      <w:pPr>
        <w:pStyle w:val="Heading1"/>
      </w:pPr>
    </w:p>
    <w:p w14:paraId="1B443146" w14:textId="79B69D54" w:rsidR="00134C58" w:rsidRDefault="00843B36" w:rsidP="00843B36">
      <w:pPr>
        <w:pStyle w:val="Heading1"/>
        <w:numPr>
          <w:ilvl w:val="0"/>
          <w:numId w:val="10"/>
        </w:numPr>
        <w:jc w:val="both"/>
      </w:pPr>
      <w:r w:rsidRPr="00843B36">
        <w:rPr>
          <w:b w:val="0"/>
          <w:bCs w:val="0"/>
        </w:rPr>
        <w:t xml:space="preserve">Battery Storage Support to Grid and DISCOM and recommendation of </w:t>
      </w:r>
      <w:proofErr w:type="gramStart"/>
      <w:r w:rsidRPr="00843B36">
        <w:rPr>
          <w:b w:val="0"/>
          <w:bCs w:val="0"/>
        </w:rPr>
        <w:t>Best</w:t>
      </w:r>
      <w:proofErr w:type="gramEnd"/>
      <w:r w:rsidRPr="00843B36">
        <w:rPr>
          <w:b w:val="0"/>
          <w:bCs w:val="0"/>
        </w:rPr>
        <w:t xml:space="preserve"> type of Battery in lieu with long life cycle and disposal mechanism shall be included in the Bid Document.   </w:t>
      </w:r>
      <w:r>
        <w:rPr>
          <w:b w:val="0"/>
          <w:bCs w:val="0"/>
        </w:rPr>
        <w:t xml:space="preserve"> </w:t>
      </w:r>
    </w:p>
    <w:p w14:paraId="35FA41DB" w14:textId="77777777" w:rsidR="00134C58" w:rsidRDefault="00134C58">
      <w:pPr>
        <w:pStyle w:val="Heading1"/>
      </w:pPr>
    </w:p>
    <w:p w14:paraId="3696BB7A" w14:textId="53F2BC8F" w:rsidR="006F511F" w:rsidRDefault="00771761">
      <w:pPr>
        <w:pStyle w:val="Heading1"/>
      </w:pPr>
      <w:r>
        <w:lastRenderedPageBreak/>
        <w:t>1. BESS Control &amp; Communication Architecture</w:t>
      </w:r>
    </w:p>
    <w:p w14:paraId="4FA2F7AF" w14:textId="77777777" w:rsidR="006F511F" w:rsidRDefault="00771761">
      <w:pPr>
        <w:spacing w:before="60" w:after="80"/>
      </w:pPr>
      <w:r>
        <w:t>The BESS operates through a four-level hierarchical control architecture: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1982"/>
        <w:gridCol w:w="6243"/>
      </w:tblGrid>
      <w:tr w:rsidR="006F511F" w14:paraId="045EC6B7" w14:textId="77777777">
        <w:trPr>
          <w:tblHeader/>
        </w:trPr>
        <w:tc>
          <w:tcPr>
            <w:tcW w:w="180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1F4E7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A04CF8A" w14:textId="77777777" w:rsidR="006F511F" w:rsidRDefault="00771761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Level</w:t>
            </w:r>
          </w:p>
        </w:tc>
        <w:tc>
          <w:tcPr>
            <w:tcW w:w="220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1F4E7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659AA83D" w14:textId="77777777" w:rsidR="006F511F" w:rsidRDefault="00771761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Layer</w:t>
            </w:r>
          </w:p>
        </w:tc>
        <w:tc>
          <w:tcPr>
            <w:tcW w:w="5360" w:type="dxa"/>
            <w:tcBorders>
              <w:top w:val="single" w:sz="2" w:space="0" w:color="1F4E79"/>
              <w:left w:val="single" w:sz="2" w:space="0" w:color="1F4E79"/>
              <w:bottom w:val="single" w:sz="2" w:space="0" w:color="1F4E79"/>
              <w:right w:val="single" w:sz="2" w:space="0" w:color="1F4E79"/>
            </w:tcBorders>
            <w:shd w:val="clear" w:color="auto" w:fill="1F4E79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79351475" w14:textId="77777777" w:rsidR="006F511F" w:rsidRDefault="00771761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Key Functions</w:t>
            </w:r>
          </w:p>
        </w:tc>
      </w:tr>
      <w:tr w:rsidR="006F511F" w14:paraId="303F4427" w14:textId="7777777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42FA17D9" w14:textId="77777777" w:rsidR="006F511F" w:rsidRDefault="00771761">
            <w:r>
              <w:rPr>
                <w:sz w:val="19"/>
                <w:szCs w:val="19"/>
              </w:rPr>
              <w:t>Level 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0F71B09C" w14:textId="77777777" w:rsidR="006F511F" w:rsidRDefault="00771761">
            <w:r>
              <w:rPr>
                <w:sz w:val="19"/>
                <w:szCs w:val="19"/>
              </w:rPr>
              <w:t>Grid / SLDC Control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1790FCCF" w14:textId="77777777" w:rsidR="006F511F" w:rsidRDefault="00771761">
            <w:r>
              <w:rPr>
                <w:sz w:val="19"/>
                <w:szCs w:val="19"/>
              </w:rPr>
              <w:t>Real-time monitoring, dispatch &amp; scheduling, BESS optimisation, ACE/frequency control, reserve management, congestion management</w:t>
            </w:r>
          </w:p>
        </w:tc>
      </w:tr>
      <w:tr w:rsidR="006F511F" w14:paraId="6E57175A" w14:textId="7777777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0626536E" w14:textId="77777777" w:rsidR="006F511F" w:rsidRDefault="00771761">
            <w:r>
              <w:rPr>
                <w:sz w:val="19"/>
                <w:szCs w:val="19"/>
              </w:rPr>
              <w:t>Level 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075B4C7A" w14:textId="77777777" w:rsidR="006F511F" w:rsidRDefault="00771761">
            <w:r>
              <w:rPr>
                <w:sz w:val="19"/>
                <w:szCs w:val="19"/>
              </w:rPr>
              <w:t xml:space="preserve">Control </w:t>
            </w:r>
            <w:r>
              <w:rPr>
                <w:sz w:val="19"/>
                <w:szCs w:val="19"/>
              </w:rPr>
              <w:t>Centre (SCADA/EMS)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5491898F" w14:textId="77777777" w:rsidR="006F511F" w:rsidRDefault="00771761">
            <w:r>
              <w:rPr>
                <w:sz w:val="19"/>
                <w:szCs w:val="19"/>
              </w:rPr>
              <w:t>SCADA: Data acquisition, alarms, event records. EMS: Forecasting, optimisation, dispatch. FEP: Protocol conversion, time sync. Cyber security.</w:t>
            </w:r>
          </w:p>
        </w:tc>
      </w:tr>
      <w:tr w:rsidR="006F511F" w14:paraId="3EA80EAE" w14:textId="7777777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1E27C0D2" w14:textId="77777777" w:rsidR="006F511F" w:rsidRDefault="00771761">
            <w:r>
              <w:rPr>
                <w:sz w:val="19"/>
                <w:szCs w:val="19"/>
              </w:rPr>
              <w:t>Level 2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761D0C21" w14:textId="77777777" w:rsidR="006F511F" w:rsidRDefault="00771761">
            <w:r>
              <w:rPr>
                <w:sz w:val="19"/>
                <w:szCs w:val="19"/>
              </w:rPr>
              <w:t>Plant Supervisory Layer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53675801" w14:textId="77777777" w:rsidR="006F511F" w:rsidRDefault="00771761">
            <w:r>
              <w:rPr>
                <w:sz w:val="19"/>
                <w:szCs w:val="19"/>
              </w:rPr>
              <w:t>Central optimiser, SoC/</w:t>
            </w:r>
            <w:proofErr w:type="spellStart"/>
            <w:r>
              <w:rPr>
                <w:sz w:val="19"/>
                <w:szCs w:val="19"/>
              </w:rPr>
              <w:t>SoH</w:t>
            </w:r>
            <w:proofErr w:type="spellEnd"/>
            <w:r>
              <w:rPr>
                <w:sz w:val="19"/>
                <w:szCs w:val="19"/>
              </w:rPr>
              <w:t xml:space="preserve"> management, power </w:t>
            </w:r>
            <w:r>
              <w:rPr>
                <w:sz w:val="19"/>
                <w:szCs w:val="19"/>
              </w:rPr>
              <w:t>dispatch, mode management (charge/discharge/standby), ramp rate, alarms, data logging</w:t>
            </w:r>
          </w:p>
        </w:tc>
      </w:tr>
      <w:tr w:rsidR="006F511F" w14:paraId="214F3FDA" w14:textId="7777777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50480DC4" w14:textId="77777777" w:rsidR="006F511F" w:rsidRDefault="00771761">
            <w:r>
              <w:rPr>
                <w:sz w:val="19"/>
                <w:szCs w:val="19"/>
              </w:rPr>
              <w:t>Level 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7744E8E6" w14:textId="77777777" w:rsidR="006F511F" w:rsidRDefault="00771761">
            <w:r>
              <w:rPr>
                <w:sz w:val="19"/>
                <w:szCs w:val="19"/>
              </w:rPr>
              <w:t>Unit Control Layer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BF3FB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29A7B173" w14:textId="77777777" w:rsidR="006F511F" w:rsidRDefault="00771761">
            <w:r>
              <w:rPr>
                <w:sz w:val="19"/>
                <w:szCs w:val="19"/>
              </w:rPr>
              <w:t>BMS: Cell monitoring, SoC/</w:t>
            </w:r>
            <w:proofErr w:type="spellStart"/>
            <w:r>
              <w:rPr>
                <w:sz w:val="19"/>
                <w:szCs w:val="19"/>
              </w:rPr>
              <w:t>SoH</w:t>
            </w:r>
            <w:proofErr w:type="spellEnd"/>
            <w:r>
              <w:rPr>
                <w:sz w:val="19"/>
                <w:szCs w:val="19"/>
              </w:rPr>
              <w:t xml:space="preserve"> estimation, cell balancing. PCS: Active/reactive power control, FFR/PFR, </w:t>
            </w:r>
            <w:r>
              <w:rPr>
                <w:sz w:val="19"/>
                <w:szCs w:val="19"/>
              </w:rPr>
              <w:t>grid-forming/following. Protection IEDs.</w:t>
            </w:r>
          </w:p>
        </w:tc>
      </w:tr>
      <w:tr w:rsidR="006F511F" w14:paraId="320DE859" w14:textId="7777777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78515513" w14:textId="77777777" w:rsidR="006F511F" w:rsidRDefault="00771761">
            <w:r>
              <w:rPr>
                <w:sz w:val="19"/>
                <w:szCs w:val="19"/>
              </w:rPr>
              <w:t>Field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6339B3A9" w14:textId="77777777" w:rsidR="006F511F" w:rsidRDefault="00771761">
            <w:r>
              <w:rPr>
                <w:sz w:val="19"/>
                <w:szCs w:val="19"/>
              </w:rPr>
              <w:t>Equipment / Power System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30" w:type="dxa"/>
              <w:bottom w:w="80" w:type="dxa"/>
              <w:right w:w="130" w:type="dxa"/>
            </w:tcMar>
          </w:tcPr>
          <w:p w14:paraId="37AE3AAE" w14:textId="77777777" w:rsidR="006F511F" w:rsidRDefault="00771761">
            <w:r>
              <w:rPr>
                <w:sz w:val="19"/>
                <w:szCs w:val="19"/>
              </w:rPr>
              <w:t>Battery racks/modules, DC combiner, PCS/inverter, step-up transformer, MV switchgear, grid interconnection point</w:t>
            </w:r>
          </w:p>
        </w:tc>
      </w:tr>
    </w:tbl>
    <w:p w14:paraId="5A976E94" w14:textId="77777777" w:rsidR="006F511F" w:rsidRDefault="00771761">
      <w:pPr>
        <w:spacing w:before="60" w:after="80"/>
      </w:pPr>
      <w:r>
        <w:t xml:space="preserve">Communication protocols: IEC 60870-5-104 (SLDC/WAN), IEC 61850 / </w:t>
      </w:r>
      <w:r>
        <w:t>Modbus TCP (plant level), IEC 61850 (high-speed field level).</w:t>
      </w:r>
    </w:p>
    <w:p w14:paraId="7E7A1235" w14:textId="77777777" w:rsidR="006F511F" w:rsidRDefault="00771761">
      <w:pPr>
        <w:spacing w:before="60" w:after="80"/>
      </w:pPr>
      <w:r>
        <w:t xml:space="preserve">Key feedback signals include SoC, </w:t>
      </w:r>
      <w:proofErr w:type="spellStart"/>
      <w:r>
        <w:t>SoH</w:t>
      </w:r>
      <w:proofErr w:type="spellEnd"/>
      <w:r>
        <w:t>, cell voltage/temperature, DC voltage/current, PCS P/Q/V/I, breaker status, alarms and weather/forecast inputs.</w:t>
      </w:r>
    </w:p>
    <w:p w14:paraId="2C19716B" w14:textId="77777777" w:rsidR="006F511F" w:rsidRDefault="00771761">
      <w:pPr>
        <w:pStyle w:val="Heading1"/>
      </w:pPr>
      <w:r>
        <w:t>2. BESS Frequency Response – PFR &amp; FFR</w:t>
      </w:r>
    </w:p>
    <w:p w14:paraId="6720DA94" w14:textId="77777777" w:rsidR="006F511F" w:rsidRDefault="00771761">
      <w:pPr>
        <w:pStyle w:val="Heading2"/>
      </w:pPr>
      <w:r>
        <w:t xml:space="preserve">2.1 Operating Band and </w:t>
      </w:r>
      <w:proofErr w:type="spellStart"/>
      <w:r>
        <w:t>Deadband</w:t>
      </w:r>
      <w:proofErr w:type="spellEnd"/>
    </w:p>
    <w:p w14:paraId="726E4F4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Nominal grid frequency: 50.000 Hz; Allowable operating band: 49.900 – 50.050 Hz.</w:t>
      </w:r>
    </w:p>
    <w:p w14:paraId="0CE37B9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proofErr w:type="spellStart"/>
      <w:r>
        <w:t>Deadband</w:t>
      </w:r>
      <w:proofErr w:type="spellEnd"/>
      <w:r>
        <w:t>: ±0.03 Hz (49.97 – 50.03 Hz) — BESS does not respond within this band.</w:t>
      </w:r>
    </w:p>
    <w:p w14:paraId="0E09C10E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Droop setting (R): 3–5%; </w:t>
      </w:r>
      <w:proofErr w:type="spellStart"/>
      <w:r>
        <w:t>Deadband</w:t>
      </w:r>
      <w:proofErr w:type="spellEnd"/>
      <w:r>
        <w:t>: ±0.03 Hz; response symmetrical for over and under frequency.</w:t>
      </w:r>
    </w:p>
    <w:p w14:paraId="273FDE19" w14:textId="77777777" w:rsidR="006F511F" w:rsidRDefault="00771761">
      <w:pPr>
        <w:pStyle w:val="Heading2"/>
      </w:pPr>
      <w:r>
        <w:t>2.2 Primary Frequency Response (PFR) – Droop Control</w:t>
      </w:r>
    </w:p>
    <w:p w14:paraId="58383EC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Once frequency moves outside the </w:t>
      </w:r>
      <w:proofErr w:type="spellStart"/>
      <w:r>
        <w:t>deadband</w:t>
      </w:r>
      <w:proofErr w:type="spellEnd"/>
      <w:r>
        <w:t>, droop control activates proportionally.</w:t>
      </w:r>
    </w:p>
    <w:p w14:paraId="00CCF5A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Formula: </w:t>
      </w:r>
      <w:proofErr w:type="spellStart"/>
      <w:r>
        <w:t>P_droop</w:t>
      </w:r>
      <w:proofErr w:type="spellEnd"/>
      <w:r>
        <w:t xml:space="preserve">(f) = 50 × (49.97 − f) for f &lt; 49.97; </w:t>
      </w:r>
      <w:proofErr w:type="spellStart"/>
      <w:r>
        <w:t>P_droop</w:t>
      </w:r>
      <w:proofErr w:type="spellEnd"/>
      <w:r>
        <w:t>(f) = −50 × (f − 50.03) for f &gt; 50.03 (for 5% droop on 125 MW BESS → slope = 50 MW/Hz).</w:t>
      </w:r>
    </w:p>
    <w:p w14:paraId="51F95C63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injects power (discharges) for low frequency; absorbs power (charges) for high frequency.</w:t>
      </w:r>
    </w:p>
    <w:p w14:paraId="665A35CE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PFR responds within 1–10 seconds after the disturbance.</w:t>
      </w:r>
    </w:p>
    <w:p w14:paraId="2DCEFE19" w14:textId="77777777" w:rsidR="006F511F" w:rsidRDefault="00771761">
      <w:pPr>
        <w:pStyle w:val="Heading2"/>
      </w:pPr>
      <w:r>
        <w:t>2.3 Fast Frequency Response (FFR)</w:t>
      </w:r>
    </w:p>
    <w:p w14:paraId="78F6CBE3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FFR acts almost instantaneously (100 </w:t>
      </w:r>
      <w:proofErr w:type="spellStart"/>
      <w:r>
        <w:t>ms</w:t>
      </w:r>
      <w:proofErr w:type="spellEnd"/>
      <w:r>
        <w:t xml:space="preserve"> – 1 s) to arrest frequency decline or rise.</w:t>
      </w:r>
    </w:p>
    <w:p w14:paraId="2EF8B64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Triggered when |</w:t>
      </w:r>
      <w:proofErr w:type="spellStart"/>
      <w:r>
        <w:t>df</w:t>
      </w:r>
      <w:proofErr w:type="spellEnd"/>
      <w:r>
        <w:t xml:space="preserve">/dt| exceeds the </w:t>
      </w:r>
      <w:proofErr w:type="spellStart"/>
      <w:r>
        <w:t>RoCoF</w:t>
      </w:r>
      <w:proofErr w:type="spellEnd"/>
      <w:r>
        <w:t xml:space="preserve"> threshold (typically 0.5 Hz/s).</w:t>
      </w:r>
    </w:p>
    <w:p w14:paraId="1674BFF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Provides a fixed additional boost (approx. 18.75 MW on a 125 MW BESS) beyond the droop response.</w:t>
      </w:r>
    </w:p>
    <w:p w14:paraId="17F462B6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FFR is </w:t>
      </w:r>
      <w:r>
        <w:t>mandatory for Inverter-Based Resources (IBRs) as per CEA Connectivity Regulations.</w:t>
      </w:r>
    </w:p>
    <w:p w14:paraId="157B91A6" w14:textId="77777777" w:rsidR="006F511F" w:rsidRDefault="00771761">
      <w:pPr>
        <w:pStyle w:val="Heading2"/>
      </w:pPr>
      <w:r>
        <w:t>2.4 Ancillary Service Timeline</w:t>
      </w:r>
    </w:p>
    <w:p w14:paraId="408F4341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FFR: Fast arrest of frequency — 100 </w:t>
      </w:r>
      <w:proofErr w:type="spellStart"/>
      <w:r>
        <w:t>ms</w:t>
      </w:r>
      <w:proofErr w:type="spellEnd"/>
      <w:r>
        <w:t xml:space="preserve"> to 1 s.</w:t>
      </w:r>
    </w:p>
    <w:p w14:paraId="5313E60F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PFR (PRAS): Primary response to arrest &amp; support — 1 to 10 s.</w:t>
      </w:r>
    </w:p>
    <w:p w14:paraId="3D6DB84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SRAS: Restore frequency and reduce ACE — up to 15 min.</w:t>
      </w:r>
    </w:p>
    <w:p w14:paraId="35441633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TRAS: Replace secondary reserve support — up to 60 min.</w:t>
      </w:r>
    </w:p>
    <w:p w14:paraId="10146D29" w14:textId="77777777" w:rsidR="006F511F" w:rsidRDefault="00771761">
      <w:pPr>
        <w:pStyle w:val="Heading2"/>
      </w:pPr>
      <w:r>
        <w:t>2.5 SoC Window for Frequency Response</w:t>
      </w:r>
    </w:p>
    <w:p w14:paraId="7AAC6E1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lastRenderedPageBreak/>
        <w:t>Recommended operating SoC window: 20% – 80%.</w:t>
      </w:r>
    </w:p>
    <w:p w14:paraId="4407A0E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Ideal SoC for maximum flexibility: 40% – 60% (normal operating range).</w:t>
      </w:r>
    </w:p>
    <w:p w14:paraId="73B3806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Above 80% SoC: Insufficient headroom to absorb power (high-frequency support unavailable).</w:t>
      </w:r>
    </w:p>
    <w:p w14:paraId="4852A146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Below 20% SoC: Insufficient energy to inject power (low-frequency support unavailable).</w:t>
      </w:r>
    </w:p>
    <w:p w14:paraId="2501E5F4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Reserve allocations (typical): PRAS 10–15%, SRAS 15–25%, TRAS 20–30% of BESS rated power.</w:t>
      </w:r>
    </w:p>
    <w:p w14:paraId="54DF8E37" w14:textId="77777777" w:rsidR="006F511F" w:rsidRDefault="00771761">
      <w:pPr>
        <w:pStyle w:val="Heading2"/>
      </w:pPr>
      <w:r>
        <w:t>2.6 Active Power Controller Block Diagram (Droop + FFR)</w:t>
      </w:r>
    </w:p>
    <w:p w14:paraId="1F5FC64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Droop (PFR) Path: Measured frequency → Low Pass Filter → </w:t>
      </w:r>
      <w:proofErr w:type="spellStart"/>
      <w:r>
        <w:t>Deadband</w:t>
      </w:r>
      <w:proofErr w:type="spellEnd"/>
      <w:r>
        <w:t xml:space="preserve"> (±0.03 Hz) → Droop Gain (</w:t>
      </w:r>
      <w:proofErr w:type="spellStart"/>
      <w:r>
        <w:t>Kp</w:t>
      </w:r>
      <w:proofErr w:type="spellEnd"/>
      <w:r>
        <w:t xml:space="preserve"> = Pmax / (R × </w:t>
      </w:r>
      <w:proofErr w:type="spellStart"/>
      <w:r>
        <w:t>fnom</w:t>
      </w:r>
      <w:proofErr w:type="spellEnd"/>
      <w:r>
        <w:t xml:space="preserve">)) → Droop PI Controller → </w:t>
      </w:r>
      <w:proofErr w:type="spellStart"/>
      <w:r>
        <w:t>P_droop</w:t>
      </w:r>
      <w:proofErr w:type="spellEnd"/>
      <w:r>
        <w:t>.</w:t>
      </w:r>
    </w:p>
    <w:p w14:paraId="384538CD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FFR Path: d/dt (High Pass Filter) → </w:t>
      </w:r>
      <w:proofErr w:type="spellStart"/>
      <w:r>
        <w:t>RoCoF</w:t>
      </w:r>
      <w:proofErr w:type="spellEnd"/>
      <w:r>
        <w:t xml:space="preserve"> computation → FFR Trigger (|</w:t>
      </w:r>
      <w:proofErr w:type="spellStart"/>
      <w:r>
        <w:t>df</w:t>
      </w:r>
      <w:proofErr w:type="spellEnd"/>
      <w:r>
        <w:t>/dt| &gt; Threshold) → FFR Shaping (Fast Ramp – Hold – Ramp) → FFR Gain (</w:t>
      </w:r>
      <w:proofErr w:type="spellStart"/>
      <w:r>
        <w:t>Kffr</w:t>
      </w:r>
      <w:proofErr w:type="spellEnd"/>
      <w:r>
        <w:t xml:space="preserve">) → </w:t>
      </w:r>
      <w:proofErr w:type="spellStart"/>
      <w:r>
        <w:t>P_ffr</w:t>
      </w:r>
      <w:proofErr w:type="spellEnd"/>
      <w:r>
        <w:t>.</w:t>
      </w:r>
    </w:p>
    <w:p w14:paraId="52A0E91D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Combined output (</w:t>
      </w:r>
      <w:proofErr w:type="spellStart"/>
      <w:r>
        <w:t>P_droop</w:t>
      </w:r>
      <w:proofErr w:type="spellEnd"/>
      <w:r>
        <w:t xml:space="preserve"> + </w:t>
      </w:r>
      <w:proofErr w:type="spellStart"/>
      <w:r>
        <w:t>P_ffr</w:t>
      </w:r>
      <w:proofErr w:type="spellEnd"/>
      <w:r>
        <w:t xml:space="preserve">) → Active Power PI (Plant Level) → Saturation Limiter (±Pmax) → Rate Limiter → SoC Limiter → </w:t>
      </w:r>
      <w:proofErr w:type="spellStart"/>
      <w:r>
        <w:t>P_ref</w:t>
      </w:r>
      <w:proofErr w:type="spellEnd"/>
      <w:r>
        <w:t>.</w:t>
      </w:r>
    </w:p>
    <w:p w14:paraId="021BD2CF" w14:textId="77777777" w:rsidR="006F511F" w:rsidRDefault="00771761">
      <w:pPr>
        <w:pStyle w:val="Heading1"/>
      </w:pPr>
      <w:r>
        <w:t>3. Automatic Generation Control (AGC) for BESS</w:t>
      </w:r>
    </w:p>
    <w:p w14:paraId="0072F771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receives AGC setpoint (ΔPAGC) from SLDC EMS via SCADA/EMS interface (IEC 60870-5-104 / TCP-IP).</w:t>
      </w:r>
    </w:p>
    <w:p w14:paraId="558B4BE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adjusts active power (charge or discharge) based on the AGC signal.</w:t>
      </w:r>
    </w:p>
    <w:p w14:paraId="5BEC6B1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Fast response: &lt; 2 seconds; supports both up-regulation and down-regulation.</w:t>
      </w:r>
    </w:p>
    <w:p w14:paraId="17D5B16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AGC architecture uses Area Control Error (ACE) calculation: ACE = (</w:t>
      </w:r>
      <w:proofErr w:type="spellStart"/>
      <w:r>
        <w:t>P_actual</w:t>
      </w:r>
      <w:proofErr w:type="spellEnd"/>
      <w:r>
        <w:t xml:space="preserve"> − </w:t>
      </w:r>
      <w:proofErr w:type="spellStart"/>
      <w:r>
        <w:t>P_schedule</w:t>
      </w:r>
      <w:proofErr w:type="spellEnd"/>
      <w:r>
        <w:t>) + B × (f − 50).</w:t>
      </w:r>
    </w:p>
    <w:p w14:paraId="7C032736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Two-area model: SLDC/AGC controller manages tie-line dynamics (ΔPtie,12) and frequency deviation (</w:t>
      </w:r>
      <w:proofErr w:type="spellStart"/>
      <w:r>
        <w:t>Δf</w:t>
      </w:r>
      <w:proofErr w:type="spellEnd"/>
      <w:r>
        <w:t>).</w:t>
      </w:r>
    </w:p>
    <w:p w14:paraId="2004335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as AGC participant provides fast, precise regulation and improves frequency stability and reliability.</w:t>
      </w:r>
    </w:p>
    <w:p w14:paraId="5C313EBB" w14:textId="77777777" w:rsidR="006F511F" w:rsidRDefault="00771761">
      <w:pPr>
        <w:pStyle w:val="Heading1"/>
      </w:pPr>
      <w:r>
        <w:t>4. Reserve Management</w:t>
      </w:r>
    </w:p>
    <w:p w14:paraId="68406E63" w14:textId="77777777" w:rsidR="006F511F" w:rsidRDefault="00771761">
      <w:pPr>
        <w:pStyle w:val="Heading2"/>
      </w:pPr>
      <w:r>
        <w:t>4.1 Concept</w:t>
      </w:r>
    </w:p>
    <w:p w14:paraId="0AD7BFB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Up Reserve: Additional capacity available above scheduled generation to handle demand increase or generation trip.</w:t>
      </w:r>
    </w:p>
    <w:p w14:paraId="11E334C4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Down Reserve: </w:t>
      </w:r>
      <w:r>
        <w:t>Absorption capacity available below scheduled generation to handle generation surplus.</w:t>
      </w:r>
    </w:p>
    <w:p w14:paraId="546BEFC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reserves should not be normally scheduled for routine operations; reserved only for contingencies.</w:t>
      </w:r>
    </w:p>
    <w:p w14:paraId="4BDACEC8" w14:textId="77777777" w:rsidR="006F511F" w:rsidRDefault="00771761">
      <w:pPr>
        <w:pStyle w:val="Heading2"/>
      </w:pPr>
      <w:r>
        <w:t>4.2 Normal Condition (Reserves Adequate)</w:t>
      </w:r>
    </w:p>
    <w:p w14:paraId="243BA38D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Available Up Reserve ≥ Mandated Up Reserve Requirement → system is secure.</w:t>
      </w:r>
    </w:p>
    <w:p w14:paraId="1EFE2A5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Available Down Reserve ≥ Mandated Down Reserve Requirement → system is secure.</w:t>
      </w:r>
    </w:p>
    <w:p w14:paraId="17AB4ECF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is NOT obligated for reserve and can be used for DSM, market operations, peak support, etc.</w:t>
      </w:r>
    </w:p>
    <w:p w14:paraId="21FB10B3" w14:textId="77777777" w:rsidR="006F511F" w:rsidRDefault="00771761">
      <w:pPr>
        <w:pStyle w:val="Heading2"/>
      </w:pPr>
      <w:r>
        <w:t xml:space="preserve">4.3 Reserve Shortfall Condition (Example: </w:t>
      </w:r>
      <w:proofErr w:type="spellStart"/>
      <w:r>
        <w:t>Mylatti</w:t>
      </w:r>
      <w:proofErr w:type="spellEnd"/>
      <w:r>
        <w:t xml:space="preserve"> 125 MW BESS)</w:t>
      </w:r>
    </w:p>
    <w:p w14:paraId="37BC7107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Up Reserve Shortfall: Mandated 300 MW; Generators provide 240 MW → Shortfall = 60 MW.</w:t>
      </w:r>
    </w:p>
    <w:p w14:paraId="5348F6C1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SLDC instructs BESS to keep 60 MW earmarked as Up Reserve. Remaining BESS capacity for other uses = 65 MW.</w:t>
      </w:r>
    </w:p>
    <w:p w14:paraId="312F2274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Down Reserve Shortfall: Mandated 200 MW; Generators provide 150 MW → Shortfall = 50 MW.</w:t>
      </w:r>
    </w:p>
    <w:p w14:paraId="78499BE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SLDC instructs BESS to keep 50 MW charging headroom (absorption capability) as Down Reserve. BESS SoC maintained at 40–60%.</w:t>
      </w:r>
    </w:p>
    <w:p w14:paraId="3AEEA5A4" w14:textId="77777777" w:rsidR="006F511F" w:rsidRDefault="00771761">
      <w:pPr>
        <w:pStyle w:val="Heading2"/>
      </w:pPr>
      <w:r>
        <w:t>4.4 Combined Reserve Margin Example</w:t>
      </w:r>
    </w:p>
    <w:p w14:paraId="70554B6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capacity = 125 MW. Total reserve margin (Up + Down) required = 80 MW. Remaining for energy operations = 45 MW.</w:t>
      </w:r>
    </w:p>
    <w:p w14:paraId="1339E16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SoC must be maintained in mid-range (40–60%) for bi-directional readiness.</w:t>
      </w:r>
    </w:p>
    <w:p w14:paraId="2E889DA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Reserved capacity released ONLY for real-time contingency events (FFR/Droop/Contingency).</w:t>
      </w:r>
    </w:p>
    <w:p w14:paraId="4A151830" w14:textId="77777777" w:rsidR="006F511F" w:rsidRDefault="00771761">
      <w:pPr>
        <w:pStyle w:val="Heading1"/>
      </w:pPr>
      <w:r>
        <w:lastRenderedPageBreak/>
        <w:t>5. DSM (Deviation Settlement Mechanism) / ACE Management</w:t>
      </w:r>
    </w:p>
    <w:p w14:paraId="264DC155" w14:textId="77777777" w:rsidR="006F511F" w:rsidRDefault="00771761">
      <w:pPr>
        <w:pStyle w:val="Heading2"/>
      </w:pPr>
      <w:r>
        <w:t>5.1 Key Concepts</w:t>
      </w:r>
    </w:p>
    <w:p w14:paraId="0FFE8FD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DSM: Financial penalty for deviating from schedule. ACE: Real-time control signal.</w:t>
      </w:r>
    </w:p>
    <w:p w14:paraId="33E08977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ACE = (</w:t>
      </w:r>
      <w:proofErr w:type="spellStart"/>
      <w:r>
        <w:t>P_actual</w:t>
      </w:r>
      <w:proofErr w:type="spellEnd"/>
      <w:r>
        <w:t xml:space="preserve"> − </w:t>
      </w:r>
      <w:proofErr w:type="spellStart"/>
      <w:r>
        <w:t>P_schedule</w:t>
      </w:r>
      <w:proofErr w:type="spellEnd"/>
      <w:r>
        <w:t>) + B × (f − 50). ACE &gt; 0 → excess generation (BESS charges); ACE &lt; 0 → deficit (BESS discharges).</w:t>
      </w:r>
    </w:p>
    <w:p w14:paraId="3AEB8C8E" w14:textId="77777777" w:rsidR="006F511F" w:rsidRDefault="00771761">
      <w:pPr>
        <w:pStyle w:val="Heading1"/>
      </w:pPr>
      <w:r>
        <w:t>6. Peak Demand Management</w:t>
      </w:r>
    </w:p>
    <w:p w14:paraId="797BF34E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Concept: Charge BESS during off-peak / low demand; discharge during peak / high demand.</w:t>
      </w:r>
    </w:p>
    <w:p w14:paraId="5079294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Charging Energy Requirement: To deliver 500 MWh during peak, total input energy = 500 / 0.90 × 1.02 ≈ 567 MWh.</w:t>
      </w:r>
    </w:p>
    <w:p w14:paraId="5331EB3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Charging Schedule (off-peak 6 hours): Required charging power = 567 / 6 ≈ 94.5 MW → Charge C-rate = 0.19C (within limit).</w:t>
      </w:r>
    </w:p>
    <w:p w14:paraId="3D19E6C3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Discharge Schedule (peak 4 hours, 18:00–22:00): Discharge power = 500 / 4 = 125 MW → C-rate = 0.25C (within limit).</w:t>
      </w:r>
    </w:p>
    <w:p w14:paraId="25B6A6C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Result: Peak demand reduced by 125 MW; load curve flattened; DSM penalty avoided.</w:t>
      </w:r>
    </w:p>
    <w:p w14:paraId="6B27DA68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SLDC finalises block-wise (15-min interval) input/output energy schedules considering RTE, C-rate and Aux Consumption.</w:t>
      </w:r>
    </w:p>
    <w:p w14:paraId="72F2ACA2" w14:textId="77777777" w:rsidR="006F511F" w:rsidRDefault="00771761">
      <w:pPr>
        <w:pStyle w:val="Heading1"/>
      </w:pPr>
      <w:r>
        <w:t>7. Market Operation (DSM Rate-Based Economic Dispatch)</w:t>
      </w:r>
    </w:p>
    <w:p w14:paraId="62D5AF9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During the first volume limit of DSM (small ACE), BESS can operate based on DSM rates for economic optimisation.</w:t>
      </w:r>
    </w:p>
    <w:p w14:paraId="3ABD637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Deficit + High DSM price → BESS discharges (injects power) to reduce deviation and avoid penalty.</w:t>
      </w:r>
    </w:p>
    <w:p w14:paraId="0E9D5D2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Deficit + Low DSM price → BESS may conserve SoC for critical events.</w:t>
      </w:r>
    </w:p>
    <w:p w14:paraId="460BF00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Surplus + Low/Negative DSM price → BESS charges (absorbs power) economically.</w:t>
      </w:r>
    </w:p>
    <w:p w14:paraId="5304C364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Layered strategy: </w:t>
      </w:r>
      <w:proofErr w:type="gramStart"/>
      <w:r>
        <w:t>Small</w:t>
      </w:r>
      <w:proofErr w:type="gramEnd"/>
      <w:r>
        <w:t xml:space="preserve"> deviation → Economic operation (DSM rate-based); Moderate → Partial correction; Large → Full correction (system security priority).</w:t>
      </w:r>
    </w:p>
    <w:p w14:paraId="78C8B4A8" w14:textId="6BEF638D" w:rsidR="006F511F" w:rsidRDefault="00771761">
      <w:pPr>
        <w:pStyle w:val="Heading1"/>
      </w:pPr>
      <w:r>
        <w:t xml:space="preserve">8. Congestion Deployment by </w:t>
      </w:r>
      <w:r w:rsidR="005F3AB6">
        <w:t>S</w:t>
      </w:r>
      <w:r>
        <w:t>LDC</w:t>
      </w:r>
    </w:p>
    <w:p w14:paraId="46C78F5C" w14:textId="77777777" w:rsidR="006F511F" w:rsidRDefault="00771761">
      <w:pPr>
        <w:pStyle w:val="Heading2"/>
      </w:pPr>
      <w:r>
        <w:t>8.1 Congestion due to Excess Power Flow (Over-generation)</w:t>
      </w:r>
    </w:p>
    <w:p w14:paraId="70D39FD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charges (absorbs power) at highest C-rate to reduce flow on the congested corridor.</w:t>
      </w:r>
    </w:p>
    <w:p w14:paraId="01A84976" w14:textId="77777777" w:rsidR="006F511F" w:rsidRDefault="00771761">
      <w:pPr>
        <w:pStyle w:val="Heading2"/>
      </w:pPr>
      <w:r>
        <w:t>8.2 Congestion due to Power Deficit / Reverse Flow</w:t>
      </w:r>
    </w:p>
    <w:p w14:paraId="3016F0A3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discharges (injects power) at highest C-rate to reduce dependency on the congested corridor.</w:t>
      </w:r>
    </w:p>
    <w:p w14:paraId="7B1A5C9A" w14:textId="77777777" w:rsidR="006F511F" w:rsidRDefault="00771761">
      <w:pPr>
        <w:pStyle w:val="Heading2"/>
      </w:pPr>
      <w:r>
        <w:t>8.3 Evacuation / Transmission Constraint</w:t>
      </w:r>
    </w:p>
    <w:p w14:paraId="3D5F7EE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deployed for evacuation/transmission constraint must prioritise handling the constraint.</w:t>
      </w:r>
    </w:p>
    <w:p w14:paraId="139495B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If no constraint exists in real time, BESS can be re-purposed for peak shaving, market operations, reserve provision, or DSM support.</w:t>
      </w:r>
    </w:p>
    <w:p w14:paraId="4640B55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Constraint status continuously monitored in real time by SLDC/RLDC.</w:t>
      </w:r>
    </w:p>
    <w:p w14:paraId="3B78DFD5" w14:textId="77777777" w:rsidR="006F511F" w:rsidRDefault="00771761">
      <w:pPr>
        <w:pStyle w:val="Heading1"/>
      </w:pPr>
      <w:r>
        <w:t>9. Phasor Measurement Unit (PMU) Integration</w:t>
      </w:r>
    </w:p>
    <w:p w14:paraId="272FCE7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PMU installed at Point of Interconnection (POI); provides high-speed (25/50 samples/sec), time-synchronized measurements.</w:t>
      </w:r>
    </w:p>
    <w:p w14:paraId="700F7347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Measured parameters: 3-phase voltage, 3-phase current, frequency, </w:t>
      </w:r>
      <w:proofErr w:type="spellStart"/>
      <w:r>
        <w:t>RoCoF</w:t>
      </w:r>
      <w:proofErr w:type="spellEnd"/>
      <w:r>
        <w:t>, voltage/current phasor angle (δ), active power (P), reactive power (Q), UTC time.</w:t>
      </w:r>
    </w:p>
    <w:p w14:paraId="1BC66DC5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PMU data stream (IEEE C37.118 / IEC 61850-90-5) transmitted to PDC/Phasor Data Concentrator → SLDC/WAMS.</w:t>
      </w:r>
    </w:p>
    <w:p w14:paraId="266DE586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lastRenderedPageBreak/>
        <w:t xml:space="preserve">Applications: Real-time grid monitoring, frequency &amp; </w:t>
      </w:r>
      <w:proofErr w:type="spellStart"/>
      <w:r>
        <w:t>RoCoF</w:t>
      </w:r>
      <w:proofErr w:type="spellEnd"/>
      <w:r>
        <w:t xml:space="preserve"> monitoring, oscillation detection &amp; damping, voltage stability assessment, dynamic state estimation, event detection &amp; post-event analysis.</w:t>
      </w:r>
    </w:p>
    <w:p w14:paraId="610B200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Time synchronization via GPS / IRNSS.</w:t>
      </w:r>
    </w:p>
    <w:p w14:paraId="02D92216" w14:textId="77777777" w:rsidR="006F511F" w:rsidRDefault="00771761">
      <w:pPr>
        <w:pStyle w:val="Heading1"/>
      </w:pPr>
      <w:r>
        <w:t>10. Fault Ride Through (FRT) and Black Start</w:t>
      </w:r>
    </w:p>
    <w:p w14:paraId="5EFD6288" w14:textId="77777777" w:rsidR="006F511F" w:rsidRDefault="00771761">
      <w:pPr>
        <w:pStyle w:val="Heading2"/>
      </w:pPr>
      <w:r>
        <w:t>10.1 LVRT and HVRT Compliance</w:t>
      </w:r>
    </w:p>
    <w:p w14:paraId="39B9F29F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must comply with CEA 2019 Fault Ride Through (VRT) standards.</w:t>
      </w:r>
    </w:p>
    <w:p w14:paraId="2D9D87DE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LVRT: BESS must remain connected and support grid during voltage dips down to ~0.2 </w:t>
      </w:r>
      <w:proofErr w:type="spellStart"/>
      <w:r>
        <w:t>p.u</w:t>
      </w:r>
      <w:proofErr w:type="spellEnd"/>
      <w:r>
        <w:t>. for up to ~0.625 seconds, then recover.</w:t>
      </w:r>
    </w:p>
    <w:p w14:paraId="0F721BC7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HVRT: BESS must withstand over-voltage (up to ~1.3 </w:t>
      </w:r>
      <w:proofErr w:type="spellStart"/>
      <w:r>
        <w:t>p.u</w:t>
      </w:r>
      <w:proofErr w:type="spellEnd"/>
      <w:r>
        <w:t>.) without tripping.</w:t>
      </w:r>
    </w:p>
    <w:p w14:paraId="27A069C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response must remain within the CEA Continuous Operation Zone during and after the fault.</w:t>
      </w:r>
    </w:p>
    <w:p w14:paraId="5005B707" w14:textId="77777777" w:rsidR="006F511F" w:rsidRDefault="00771761">
      <w:pPr>
        <w:pStyle w:val="Heading2"/>
      </w:pPr>
      <w:r>
        <w:t>10.2 Black Start – Grid-Forming (GFM) Capability</w:t>
      </w:r>
    </w:p>
    <w:p w14:paraId="064B5DF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GFM-capable BESS can perform black start restoration from 'cold start' (0 </w:t>
      </w:r>
      <w:proofErr w:type="spellStart"/>
      <w:r>
        <w:t>p.u</w:t>
      </w:r>
      <w:proofErr w:type="spellEnd"/>
      <w:r>
        <w:t>. voltage).</w:t>
      </w:r>
    </w:p>
    <w:p w14:paraId="145F843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Sequence: Cold Start → GFM Voltage Source established → Bus Pressurize → Load Step (Steady State) → Grid Sync.</w:t>
      </w:r>
    </w:p>
    <w:p w14:paraId="2F6055D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 xml:space="preserve">Internal voltage rises rapidly to ~0.6 </w:t>
      </w:r>
      <w:proofErr w:type="spellStart"/>
      <w:r>
        <w:t>p.u</w:t>
      </w:r>
      <w:proofErr w:type="spellEnd"/>
      <w:r>
        <w:t xml:space="preserve">. at </w:t>
      </w:r>
      <w:r>
        <w:t>cold start; system frequency stabilises at ~50 Hz throughout the sequence.</w:t>
      </w:r>
    </w:p>
    <w:p w14:paraId="1DCA4930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Black start is enabled only where specified in the contract and required by the System Operator.</w:t>
      </w:r>
    </w:p>
    <w:p w14:paraId="74668ABB" w14:textId="77777777" w:rsidR="006F511F" w:rsidRDefault="00771761">
      <w:pPr>
        <w:pStyle w:val="Heading1"/>
      </w:pPr>
      <w:r>
        <w:t>11. System Operation – Centralised BESS Optimisation at SLDC</w:t>
      </w:r>
    </w:p>
    <w:p w14:paraId="1CE50F0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BESS can be operated by manual entry by System Operator (charge/discharge power MW, schedule, mode, priority) or through centralised dispatch via BESS Optimiser at SLDC.</w:t>
      </w:r>
    </w:p>
    <w:p w14:paraId="1A7EA3B7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With multiple BESS at various locations, centralised optimisation is essential to avoid counter-dispatches among BESS units.</w:t>
      </w:r>
    </w:p>
    <w:p w14:paraId="075B55FC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SLDC BESS Optimiser: Aggregates data from all BESS, runs optimisation engine, handles constraints, generates coordinated schedules.</w:t>
      </w:r>
    </w:p>
    <w:p w14:paraId="55FE685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Objectives may include: Peak Demand Management + ACE; Peak Demand Management + Market-Based; Congestion Management + Reserve Provision; or other combinations.</w:t>
      </w:r>
    </w:p>
    <w:p w14:paraId="1BF653A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Limiting constraints in optimisation: BESS technical limits (MW/MWh/SoC/ramp/C-rate), operational constraints (min/max SoC, efficiency/losses), time &amp; schedule constraints, grid constraints (transmission/congestion/security), policy/market constraints (DSM rules, reserve requirements, regulatory directives).</w:t>
      </w:r>
    </w:p>
    <w:p w14:paraId="53F443C0" w14:textId="77777777" w:rsidR="006F511F" w:rsidRDefault="00771761">
      <w:pPr>
        <w:pStyle w:val="Heading1"/>
      </w:pPr>
      <w:r>
        <w:t>12. Communication Architecture</w:t>
      </w:r>
    </w:p>
    <w:p w14:paraId="5CD7EFEB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IEC 60870-5-104 (IEC 104): Between Control Centre (SCADA) and remote BESS Station (RTU) — via WAN or dedicated link.</w:t>
      </w:r>
    </w:p>
    <w:p w14:paraId="631BFC09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TCP/IP Protocol: Between RTU, PPC (Power Plant Controller), PCS and BESS equipment at the site.</w:t>
      </w:r>
    </w:p>
    <w:p w14:paraId="43A0D42A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Data flow: Telemetry / Status / Alarms / Measurements from BESS to Control Centre; Control Commands / Setpoints / Dispatch from Control Centre to BESS.</w:t>
      </w:r>
    </w:p>
    <w:p w14:paraId="0BF8228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Firewall and cyber security at both Control Centre and BESS Station ends.</w:t>
      </w:r>
    </w:p>
    <w:p w14:paraId="49508122" w14:textId="77777777" w:rsidR="006F511F" w:rsidRDefault="00771761">
      <w:pPr>
        <w:pStyle w:val="ListParagraph"/>
        <w:numPr>
          <w:ilvl w:val="0"/>
          <w:numId w:val="2"/>
        </w:numPr>
        <w:spacing w:before="40" w:after="40"/>
      </w:pPr>
      <w:r>
        <w:t>Architecture enables secure bi-directional communication between SLDC and all BESS stations.</w:t>
      </w:r>
    </w:p>
    <w:p w14:paraId="2E199F1F" w14:textId="77777777" w:rsidR="00E63C6F" w:rsidRDefault="00E63C6F" w:rsidP="00E63C6F">
      <w:pPr>
        <w:spacing w:before="40" w:after="40"/>
        <w:ind w:left="360"/>
      </w:pPr>
    </w:p>
    <w:sectPr w:rsidR="00E63C6F">
      <w:headerReference w:type="default" r:id="rId7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C43E" w14:textId="77777777" w:rsidR="00BC7576" w:rsidRDefault="00BC7576" w:rsidP="00BC7576">
      <w:r>
        <w:separator/>
      </w:r>
    </w:p>
  </w:endnote>
  <w:endnote w:type="continuationSeparator" w:id="0">
    <w:p w14:paraId="588F85D5" w14:textId="77777777" w:rsidR="00BC7576" w:rsidRDefault="00BC7576" w:rsidP="00BC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CA6F" w14:textId="77777777" w:rsidR="00BC7576" w:rsidRDefault="00BC7576" w:rsidP="00BC7576">
      <w:r>
        <w:separator/>
      </w:r>
    </w:p>
  </w:footnote>
  <w:footnote w:type="continuationSeparator" w:id="0">
    <w:p w14:paraId="564C3864" w14:textId="77777777" w:rsidR="00BC7576" w:rsidRDefault="00BC7576" w:rsidP="00BC7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D6035" w14:textId="5F17EFDF" w:rsidR="00BC7576" w:rsidRPr="00BC7576" w:rsidRDefault="00BC7576">
    <w:pPr>
      <w:pStyle w:val="Header"/>
      <w:rPr>
        <w:rFonts w:ascii="Times New Roman" w:hAnsi="Times New Roman" w:cs="Times New Roman"/>
        <w:b/>
        <w:bCs/>
        <w:i/>
        <w:iCs/>
        <w:color w:val="000000" w:themeColor="text1"/>
        <w:sz w:val="22"/>
        <w:szCs w:val="22"/>
      </w:rPr>
    </w:pPr>
    <w:r w:rsidRPr="00BC7576">
      <w:rPr>
        <w:rFonts w:ascii="Times New Roman" w:hAnsi="Times New Roman" w:cs="Times New Roman"/>
        <w:b/>
        <w:bCs/>
        <w:i/>
        <w:iCs/>
        <w:color w:val="000000" w:themeColor="text1"/>
        <w:sz w:val="22"/>
        <w:szCs w:val="22"/>
      </w:rPr>
      <w:ptab w:relativeTo="margin" w:alignment="center" w:leader="none"/>
    </w:r>
    <w:r w:rsidRPr="00BC7576">
      <w:rPr>
        <w:rFonts w:ascii="Times New Roman" w:hAnsi="Times New Roman" w:cs="Times New Roman"/>
        <w:b/>
        <w:bCs/>
        <w:i/>
        <w:iCs/>
        <w:color w:val="000000" w:themeColor="text1"/>
        <w:sz w:val="22"/>
        <w:szCs w:val="22"/>
      </w:rPr>
      <w:ptab w:relativeTo="margin" w:alignment="right" w:leader="none"/>
    </w:r>
    <w:r w:rsidRPr="00BC7576">
      <w:rPr>
        <w:rFonts w:ascii="Times New Roman" w:hAnsi="Times New Roman" w:cs="Times New Roman"/>
        <w:b/>
        <w:bCs/>
        <w:i/>
        <w:iCs/>
        <w:color w:val="000000" w:themeColor="text1"/>
        <w:sz w:val="22"/>
        <w:szCs w:val="22"/>
      </w:rPr>
      <w:t>Annexure – Inputs of TN SLDC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F650B"/>
    <w:multiLevelType w:val="multilevel"/>
    <w:tmpl w:val="392E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2C5FEB"/>
    <w:multiLevelType w:val="hybridMultilevel"/>
    <w:tmpl w:val="E63E8C50"/>
    <w:lvl w:ilvl="0" w:tplc="68C4ACB0">
      <w:start w:val="1"/>
      <w:numFmt w:val="bullet"/>
      <w:lvlText w:val="•"/>
      <w:lvlJc w:val="left"/>
      <w:pPr>
        <w:ind w:left="720" w:hanging="360"/>
      </w:pPr>
    </w:lvl>
    <w:lvl w:ilvl="1" w:tplc="693E00BE">
      <w:start w:val="1"/>
      <w:numFmt w:val="bullet"/>
      <w:lvlText w:val="○"/>
      <w:lvlJc w:val="left"/>
      <w:pPr>
        <w:ind w:left="1080" w:hanging="360"/>
      </w:pPr>
    </w:lvl>
    <w:lvl w:ilvl="2" w:tplc="D5BC3D10">
      <w:numFmt w:val="decimal"/>
      <w:lvlText w:val=""/>
      <w:lvlJc w:val="left"/>
    </w:lvl>
    <w:lvl w:ilvl="3" w:tplc="D8A24F1E">
      <w:numFmt w:val="decimal"/>
      <w:lvlText w:val=""/>
      <w:lvlJc w:val="left"/>
    </w:lvl>
    <w:lvl w:ilvl="4" w:tplc="C1EE70E6">
      <w:numFmt w:val="decimal"/>
      <w:lvlText w:val=""/>
      <w:lvlJc w:val="left"/>
    </w:lvl>
    <w:lvl w:ilvl="5" w:tplc="8AA093FE">
      <w:numFmt w:val="decimal"/>
      <w:lvlText w:val=""/>
      <w:lvlJc w:val="left"/>
    </w:lvl>
    <w:lvl w:ilvl="6" w:tplc="249E146A">
      <w:numFmt w:val="decimal"/>
      <w:lvlText w:val=""/>
      <w:lvlJc w:val="left"/>
    </w:lvl>
    <w:lvl w:ilvl="7" w:tplc="63F663BE">
      <w:numFmt w:val="decimal"/>
      <w:lvlText w:val=""/>
      <w:lvlJc w:val="left"/>
    </w:lvl>
    <w:lvl w:ilvl="8" w:tplc="01A471E8">
      <w:numFmt w:val="decimal"/>
      <w:lvlText w:val=""/>
      <w:lvlJc w:val="left"/>
    </w:lvl>
  </w:abstractNum>
  <w:abstractNum w:abstractNumId="2" w15:restartNumberingAfterBreak="0">
    <w:nsid w:val="1E5A0AB2"/>
    <w:multiLevelType w:val="multilevel"/>
    <w:tmpl w:val="E59E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82857"/>
    <w:multiLevelType w:val="multilevel"/>
    <w:tmpl w:val="B05EB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365C8C"/>
    <w:multiLevelType w:val="multilevel"/>
    <w:tmpl w:val="6266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C6CF2"/>
    <w:multiLevelType w:val="hybridMultilevel"/>
    <w:tmpl w:val="E926E9EC"/>
    <w:lvl w:ilvl="0" w:tplc="AF04C2C8">
      <w:start w:val="1"/>
      <w:numFmt w:val="bullet"/>
      <w:lvlText w:val="●"/>
      <w:lvlJc w:val="left"/>
      <w:pPr>
        <w:ind w:left="720" w:hanging="360"/>
      </w:pPr>
    </w:lvl>
    <w:lvl w:ilvl="1" w:tplc="E774D904">
      <w:start w:val="1"/>
      <w:numFmt w:val="bullet"/>
      <w:lvlText w:val="○"/>
      <w:lvlJc w:val="left"/>
      <w:pPr>
        <w:ind w:left="1440" w:hanging="360"/>
      </w:pPr>
    </w:lvl>
    <w:lvl w:ilvl="2" w:tplc="004CC77C">
      <w:start w:val="1"/>
      <w:numFmt w:val="bullet"/>
      <w:lvlText w:val="■"/>
      <w:lvlJc w:val="left"/>
      <w:pPr>
        <w:ind w:left="2160" w:hanging="360"/>
      </w:pPr>
    </w:lvl>
    <w:lvl w:ilvl="3" w:tplc="86F28584">
      <w:start w:val="1"/>
      <w:numFmt w:val="bullet"/>
      <w:lvlText w:val="●"/>
      <w:lvlJc w:val="left"/>
      <w:pPr>
        <w:ind w:left="2880" w:hanging="360"/>
      </w:pPr>
    </w:lvl>
    <w:lvl w:ilvl="4" w:tplc="9D5406B8">
      <w:start w:val="1"/>
      <w:numFmt w:val="bullet"/>
      <w:lvlText w:val="○"/>
      <w:lvlJc w:val="left"/>
      <w:pPr>
        <w:ind w:left="3600" w:hanging="360"/>
      </w:pPr>
    </w:lvl>
    <w:lvl w:ilvl="5" w:tplc="3AEE1550">
      <w:start w:val="1"/>
      <w:numFmt w:val="bullet"/>
      <w:lvlText w:val="■"/>
      <w:lvlJc w:val="left"/>
      <w:pPr>
        <w:ind w:left="4320" w:hanging="360"/>
      </w:pPr>
    </w:lvl>
    <w:lvl w:ilvl="6" w:tplc="DB70EB88">
      <w:start w:val="1"/>
      <w:numFmt w:val="bullet"/>
      <w:lvlText w:val="●"/>
      <w:lvlJc w:val="left"/>
      <w:pPr>
        <w:ind w:left="5040" w:hanging="360"/>
      </w:pPr>
    </w:lvl>
    <w:lvl w:ilvl="7" w:tplc="54AA82A8">
      <w:start w:val="1"/>
      <w:numFmt w:val="bullet"/>
      <w:lvlText w:val="●"/>
      <w:lvlJc w:val="left"/>
      <w:pPr>
        <w:ind w:left="5760" w:hanging="360"/>
      </w:pPr>
    </w:lvl>
    <w:lvl w:ilvl="8" w:tplc="0826FB60">
      <w:start w:val="1"/>
      <w:numFmt w:val="bullet"/>
      <w:lvlText w:val="●"/>
      <w:lvlJc w:val="left"/>
      <w:pPr>
        <w:ind w:left="6480" w:hanging="360"/>
      </w:pPr>
    </w:lvl>
  </w:abstractNum>
  <w:abstractNum w:abstractNumId="6" w15:restartNumberingAfterBreak="0">
    <w:nsid w:val="39A94BF6"/>
    <w:multiLevelType w:val="multilevel"/>
    <w:tmpl w:val="C656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077F64"/>
    <w:multiLevelType w:val="multilevel"/>
    <w:tmpl w:val="DCCC2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7A270A"/>
    <w:multiLevelType w:val="hybridMultilevel"/>
    <w:tmpl w:val="AA3C67BE"/>
    <w:lvl w:ilvl="0" w:tplc="5524E252">
      <w:start w:val="1"/>
      <w:numFmt w:val="decimal"/>
      <w:lvlText w:val="%1."/>
      <w:lvlJc w:val="left"/>
      <w:pPr>
        <w:ind w:left="720" w:hanging="360"/>
      </w:pPr>
    </w:lvl>
    <w:lvl w:ilvl="1" w:tplc="E8407070">
      <w:numFmt w:val="decimal"/>
      <w:lvlText w:val=""/>
      <w:lvlJc w:val="left"/>
    </w:lvl>
    <w:lvl w:ilvl="2" w:tplc="D1CCFDCA">
      <w:numFmt w:val="decimal"/>
      <w:lvlText w:val=""/>
      <w:lvlJc w:val="left"/>
    </w:lvl>
    <w:lvl w:ilvl="3" w:tplc="EE305BA0">
      <w:numFmt w:val="decimal"/>
      <w:lvlText w:val=""/>
      <w:lvlJc w:val="left"/>
    </w:lvl>
    <w:lvl w:ilvl="4" w:tplc="962A515E">
      <w:numFmt w:val="decimal"/>
      <w:lvlText w:val=""/>
      <w:lvlJc w:val="left"/>
    </w:lvl>
    <w:lvl w:ilvl="5" w:tplc="EA82083E">
      <w:numFmt w:val="decimal"/>
      <w:lvlText w:val=""/>
      <w:lvlJc w:val="left"/>
    </w:lvl>
    <w:lvl w:ilvl="6" w:tplc="A628F68E">
      <w:numFmt w:val="decimal"/>
      <w:lvlText w:val=""/>
      <w:lvlJc w:val="left"/>
    </w:lvl>
    <w:lvl w:ilvl="7" w:tplc="2D7690CC">
      <w:numFmt w:val="decimal"/>
      <w:lvlText w:val=""/>
      <w:lvlJc w:val="left"/>
    </w:lvl>
    <w:lvl w:ilvl="8" w:tplc="8BCEF49A">
      <w:numFmt w:val="decimal"/>
      <w:lvlText w:val=""/>
      <w:lvlJc w:val="left"/>
    </w:lvl>
  </w:abstractNum>
  <w:abstractNum w:abstractNumId="9" w15:restartNumberingAfterBreak="0">
    <w:nsid w:val="61431ADD"/>
    <w:multiLevelType w:val="multilevel"/>
    <w:tmpl w:val="86B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8A265C"/>
    <w:multiLevelType w:val="multilevel"/>
    <w:tmpl w:val="C0C24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6539920">
    <w:abstractNumId w:val="5"/>
    <w:lvlOverride w:ilvl="0">
      <w:startOverride w:val="1"/>
    </w:lvlOverride>
  </w:num>
  <w:num w:numId="2" w16cid:durableId="947275943">
    <w:abstractNumId w:val="1"/>
    <w:lvlOverride w:ilvl="0">
      <w:startOverride w:val="1"/>
    </w:lvlOverride>
  </w:num>
  <w:num w:numId="3" w16cid:durableId="2013753053">
    <w:abstractNumId w:val="0"/>
  </w:num>
  <w:num w:numId="4" w16cid:durableId="131948520">
    <w:abstractNumId w:val="9"/>
  </w:num>
  <w:num w:numId="5" w16cid:durableId="78985127">
    <w:abstractNumId w:val="2"/>
  </w:num>
  <w:num w:numId="6" w16cid:durableId="2131127010">
    <w:abstractNumId w:val="6"/>
  </w:num>
  <w:num w:numId="7" w16cid:durableId="418674860">
    <w:abstractNumId w:val="4"/>
  </w:num>
  <w:num w:numId="8" w16cid:durableId="1524631546">
    <w:abstractNumId w:val="7"/>
  </w:num>
  <w:num w:numId="9" w16cid:durableId="1749570191">
    <w:abstractNumId w:val="3"/>
  </w:num>
  <w:num w:numId="10" w16cid:durableId="3803289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11F"/>
    <w:rsid w:val="00134C58"/>
    <w:rsid w:val="004940C8"/>
    <w:rsid w:val="004B553D"/>
    <w:rsid w:val="005F3AB6"/>
    <w:rsid w:val="006F511F"/>
    <w:rsid w:val="00771761"/>
    <w:rsid w:val="00843B36"/>
    <w:rsid w:val="00BC7576"/>
    <w:rsid w:val="00E63C6F"/>
    <w:rsid w:val="00FA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A1C91F7"/>
  <w15:docId w15:val="{5D021B4E-EC11-495B-8BED-382C065AA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20"/>
      <w:outlineLvl w:val="0"/>
    </w:pPr>
    <w:rPr>
      <w:b/>
      <w:bCs/>
      <w:color w:val="1F4E79"/>
      <w:sz w:val="28"/>
      <w:szCs w:val="28"/>
    </w:rPr>
  </w:style>
  <w:style w:type="paragraph" w:styleId="Heading2">
    <w:name w:val="heading 2"/>
    <w:uiPriority w:val="9"/>
    <w:unhideWhenUsed/>
    <w:qFormat/>
    <w:pPr>
      <w:spacing w:before="200" w:after="80"/>
      <w:outlineLvl w:val="1"/>
    </w:pPr>
    <w:rPr>
      <w:b/>
      <w:bCs/>
      <w:color w:val="2E75B6"/>
      <w:sz w:val="24"/>
      <w:szCs w:val="24"/>
    </w:rPr>
  </w:style>
  <w:style w:type="paragraph" w:styleId="Heading3">
    <w:name w:val="heading 3"/>
    <w:uiPriority w:val="9"/>
    <w:semiHidden/>
    <w:unhideWhenUsed/>
    <w:qFormat/>
    <w:pPr>
      <w:spacing w:before="160" w:after="60"/>
      <w:outlineLvl w:val="2"/>
    </w:pPr>
    <w:rPr>
      <w:b/>
      <w:bCs/>
      <w:color w:val="244F7A"/>
      <w:sz w:val="22"/>
      <w:szCs w:val="22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C75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576"/>
  </w:style>
  <w:style w:type="paragraph" w:styleId="Footer">
    <w:name w:val="footer"/>
    <w:basedOn w:val="Normal"/>
    <w:link w:val="FooterChar"/>
    <w:uiPriority w:val="99"/>
    <w:unhideWhenUsed/>
    <w:rsid w:val="00BC75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7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HP</cp:lastModifiedBy>
  <cp:revision>6</cp:revision>
  <cp:lastPrinted>2026-06-12T09:28:00Z</cp:lastPrinted>
  <dcterms:created xsi:type="dcterms:W3CDTF">2026-05-16T08:11:00Z</dcterms:created>
  <dcterms:modified xsi:type="dcterms:W3CDTF">2026-06-12T09:44:00Z</dcterms:modified>
</cp:coreProperties>
</file>